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6AB" w:rsidRPr="001B2289" w:rsidRDefault="00B166AB" w:rsidP="001B2289">
      <w:pPr>
        <w:jc w:val="center"/>
        <w:rPr>
          <w:b/>
        </w:rPr>
      </w:pPr>
      <w:bookmarkStart w:id="0" w:name="_GoBack"/>
      <w:bookmarkEnd w:id="0"/>
      <w:r w:rsidRPr="001B2289">
        <w:rPr>
          <w:b/>
        </w:rPr>
        <w:t xml:space="preserve">Reporte GLOSA 06 DGOP </w:t>
      </w:r>
      <w:r w:rsidR="001B2289">
        <w:rPr>
          <w:b/>
        </w:rPr>
        <w:t xml:space="preserve">- </w:t>
      </w:r>
      <w:r w:rsidRPr="001B2289">
        <w:rPr>
          <w:b/>
        </w:rPr>
        <w:t xml:space="preserve">Ley </w:t>
      </w:r>
      <w:r w:rsidR="001B2289">
        <w:rPr>
          <w:b/>
        </w:rPr>
        <w:t>21</w:t>
      </w:r>
      <w:r w:rsidR="00011F7E">
        <w:rPr>
          <w:b/>
        </w:rPr>
        <w:t>.</w:t>
      </w:r>
      <w:r w:rsidR="001B2289">
        <w:rPr>
          <w:b/>
        </w:rPr>
        <w:t xml:space="preserve">722 </w:t>
      </w:r>
      <w:r w:rsidRPr="001B2289">
        <w:rPr>
          <w:b/>
        </w:rPr>
        <w:t xml:space="preserve">de Presupuestos </w:t>
      </w:r>
      <w:r w:rsidR="001B2289">
        <w:rPr>
          <w:b/>
        </w:rPr>
        <w:t xml:space="preserve">año </w:t>
      </w:r>
      <w:r w:rsidRPr="001B2289">
        <w:rPr>
          <w:b/>
        </w:rPr>
        <w:t>2025</w:t>
      </w:r>
    </w:p>
    <w:p w:rsidR="00B166AB" w:rsidRDefault="00B166AB"/>
    <w:p w:rsidR="00B166AB" w:rsidRPr="001B2289" w:rsidRDefault="001B2289" w:rsidP="001B2289">
      <w:pPr>
        <w:jc w:val="both"/>
        <w:rPr>
          <w:i/>
        </w:rPr>
      </w:pPr>
      <w:r>
        <w:t xml:space="preserve">La Glosa 06 establece lo siguiente: </w:t>
      </w:r>
      <w:r w:rsidR="00B166AB" w:rsidRPr="001B2289">
        <w:rPr>
          <w:i/>
        </w:rPr>
        <w:t>“Se podrán asignar recursos a organismos del sector público, pudiendo incluir gastos en personal, y bienes y servicios de consumo.</w:t>
      </w:r>
      <w:r w:rsidRPr="001B2289">
        <w:rPr>
          <w:i/>
        </w:rPr>
        <w:t xml:space="preserve">  </w:t>
      </w:r>
      <w:r w:rsidR="00B166AB" w:rsidRPr="001B2289">
        <w:rPr>
          <w:i/>
        </w:rPr>
        <w:t>Tratándose de instituciones incluidas en la presente ley, estos recursos no ingresarán a sus presupuestos, sin perjuicio de la rendición de fondos a la Contraloría General de la República.</w:t>
      </w:r>
      <w:r w:rsidRPr="001B2289">
        <w:rPr>
          <w:i/>
        </w:rPr>
        <w:t xml:space="preserve">  </w:t>
      </w:r>
      <w:r w:rsidR="00B166AB" w:rsidRPr="001B2289">
        <w:rPr>
          <w:i/>
        </w:rPr>
        <w:t xml:space="preserve">El Ministerio de Obras </w:t>
      </w:r>
      <w:r w:rsidRPr="001B2289">
        <w:rPr>
          <w:i/>
        </w:rPr>
        <w:t>Públicas, informará trimestralmente a la Comisión de Obras Públicas del Senado y a la Comisión de Obras Públicas, Transportes y Telecomunicaciones de la Cámara de Diputados, acerca del impacto de este fondo en la Región de Aysén del General Carlos Ibáñez del Campo, con especificación e los proyectos patrocinados en virtud de este programa, las comunas beneficiadas y la población destinataria”.</w:t>
      </w:r>
    </w:p>
    <w:p w:rsidR="00B166AB" w:rsidRDefault="00B166AB"/>
    <w:tbl>
      <w:tblPr>
        <w:tblW w:w="910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72"/>
        <w:gridCol w:w="5733"/>
      </w:tblGrid>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NOMBRE </w:t>
            </w:r>
            <w:r w:rsidR="001B2289">
              <w:rPr>
                <w:b/>
              </w:rPr>
              <w:t xml:space="preserve">DEL </w:t>
            </w:r>
            <w:r w:rsidRPr="001B2289">
              <w:rPr>
                <w:b/>
              </w:rPr>
              <w:t xml:space="preserve">PROYECTO: </w:t>
            </w:r>
          </w:p>
        </w:tc>
        <w:tc>
          <w:tcPr>
            <w:tcW w:w="5733" w:type="dxa"/>
            <w:vAlign w:val="center"/>
          </w:tcPr>
          <w:p w:rsidR="00B166AB" w:rsidRPr="00B166AB" w:rsidRDefault="00B166AB" w:rsidP="001B2289">
            <w:pPr>
              <w:ind w:left="111"/>
              <w:rPr>
                <w:b/>
              </w:rPr>
            </w:pPr>
            <w:r w:rsidRPr="00B166AB">
              <w:rPr>
                <w:b/>
              </w:rPr>
              <w:t>Reposición Edificio Administración Aduana Puerto Aysén.</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CÓDIGO BIP: </w:t>
            </w:r>
          </w:p>
        </w:tc>
        <w:tc>
          <w:tcPr>
            <w:tcW w:w="5733" w:type="dxa"/>
            <w:vAlign w:val="center"/>
          </w:tcPr>
          <w:p w:rsidR="00B166AB" w:rsidRDefault="00B166AB" w:rsidP="001B2289">
            <w:pPr>
              <w:ind w:left="111"/>
            </w:pPr>
            <w:r>
              <w:t>40007111-0</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LOCALIZACIÓN: </w:t>
            </w:r>
          </w:p>
        </w:tc>
        <w:tc>
          <w:tcPr>
            <w:tcW w:w="5733" w:type="dxa"/>
            <w:vAlign w:val="center"/>
          </w:tcPr>
          <w:p w:rsidR="00B166AB" w:rsidRDefault="00B166AB" w:rsidP="001B2289">
            <w:pPr>
              <w:ind w:left="111"/>
            </w:pPr>
            <w:r>
              <w:t>Puerto Chacabuco, Región Aysén</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BENEFICIARIOS DIRECTOS:  </w:t>
            </w:r>
          </w:p>
        </w:tc>
        <w:tc>
          <w:tcPr>
            <w:tcW w:w="5733" w:type="dxa"/>
            <w:vAlign w:val="center"/>
          </w:tcPr>
          <w:p w:rsidR="00B166AB" w:rsidRDefault="00B166AB" w:rsidP="001B2289">
            <w:pPr>
              <w:ind w:left="111"/>
            </w:pPr>
            <w:r>
              <w:t>34</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BENEFICIARIOS INDIRECTOS</w:t>
            </w:r>
            <w:r w:rsidR="001B2289">
              <w:rPr>
                <w:b/>
              </w:rPr>
              <w:t xml:space="preserve"> (población destinataria)</w:t>
            </w:r>
            <w:r w:rsidRPr="001B2289">
              <w:rPr>
                <w:b/>
              </w:rPr>
              <w:t xml:space="preserve">: </w:t>
            </w:r>
          </w:p>
        </w:tc>
        <w:tc>
          <w:tcPr>
            <w:tcW w:w="5733" w:type="dxa"/>
            <w:vAlign w:val="center"/>
          </w:tcPr>
          <w:p w:rsidR="00B166AB" w:rsidRDefault="00B166AB" w:rsidP="001B2289">
            <w:pPr>
              <w:ind w:left="111"/>
            </w:pPr>
            <w:r>
              <w:t>30.476</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COMUNAS BENEFICIADAS: </w:t>
            </w:r>
          </w:p>
        </w:tc>
        <w:tc>
          <w:tcPr>
            <w:tcW w:w="5733" w:type="dxa"/>
            <w:vAlign w:val="center"/>
          </w:tcPr>
          <w:p w:rsidR="00B166AB" w:rsidRDefault="00B166AB" w:rsidP="001B2289">
            <w:pPr>
              <w:ind w:left="111"/>
            </w:pPr>
            <w:r>
              <w:t>Aysén y Puerto Cisnes</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INVERSIÓN PROYECTO: </w:t>
            </w:r>
          </w:p>
        </w:tc>
        <w:tc>
          <w:tcPr>
            <w:tcW w:w="5733" w:type="dxa"/>
            <w:vAlign w:val="center"/>
          </w:tcPr>
          <w:p w:rsidR="00B166AB" w:rsidRDefault="00B166AB" w:rsidP="001B2289">
            <w:pPr>
              <w:ind w:left="111"/>
            </w:pPr>
            <w:r>
              <w:t>M$4.500.000</w:t>
            </w:r>
          </w:p>
        </w:tc>
      </w:tr>
      <w:tr w:rsidR="00B166AB" w:rsidTr="001B2289">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FINANCIAMIENTO MOP</w:t>
            </w:r>
            <w:r w:rsidR="001B2289">
              <w:rPr>
                <w:b/>
              </w:rPr>
              <w:t xml:space="preserve"> (FIDE DGOP)</w:t>
            </w:r>
            <w:r w:rsidRPr="001B2289">
              <w:rPr>
                <w:b/>
              </w:rPr>
              <w:t>:</w:t>
            </w:r>
          </w:p>
        </w:tc>
        <w:tc>
          <w:tcPr>
            <w:tcW w:w="5733" w:type="dxa"/>
            <w:vAlign w:val="center"/>
          </w:tcPr>
          <w:p w:rsidR="00B166AB" w:rsidRDefault="00B166AB" w:rsidP="001B2289">
            <w:pPr>
              <w:ind w:left="111"/>
            </w:pPr>
            <w:r>
              <w:t>M$2.586.342</w:t>
            </w:r>
          </w:p>
        </w:tc>
      </w:tr>
      <w:tr w:rsidR="001B2289" w:rsidTr="001B2289">
        <w:trPr>
          <w:trHeight w:val="567"/>
        </w:trPr>
        <w:tc>
          <w:tcPr>
            <w:tcW w:w="3372" w:type="dxa"/>
            <w:shd w:val="clear" w:color="auto" w:fill="DEEAF6" w:themeFill="accent1" w:themeFillTint="33"/>
            <w:vAlign w:val="center"/>
          </w:tcPr>
          <w:p w:rsidR="001B2289" w:rsidRPr="001B2289" w:rsidRDefault="001B2289" w:rsidP="001B2289">
            <w:pPr>
              <w:ind w:left="111"/>
              <w:rPr>
                <w:b/>
              </w:rPr>
            </w:pPr>
          </w:p>
        </w:tc>
        <w:tc>
          <w:tcPr>
            <w:tcW w:w="5733" w:type="dxa"/>
            <w:vAlign w:val="center"/>
          </w:tcPr>
          <w:p w:rsidR="001B2289" w:rsidRDefault="001B2289" w:rsidP="001B2289">
            <w:pPr>
              <w:ind w:left="111"/>
            </w:pPr>
          </w:p>
        </w:tc>
      </w:tr>
    </w:tbl>
    <w:p w:rsidR="00B166AB" w:rsidRDefault="00B166AB" w:rsidP="00470D12">
      <w:pPr>
        <w:jc w:val="both"/>
      </w:pPr>
    </w:p>
    <w:p w:rsidR="00B166AB" w:rsidRPr="00B166AB" w:rsidRDefault="00B166AB" w:rsidP="00470D12">
      <w:pPr>
        <w:jc w:val="both"/>
        <w:rPr>
          <w:b/>
        </w:rPr>
      </w:pPr>
      <w:r w:rsidRPr="00B166AB">
        <w:rPr>
          <w:b/>
        </w:rPr>
        <w:t>IMPACTO DEL PROYECTO.</w:t>
      </w:r>
    </w:p>
    <w:p w:rsidR="004B5F42" w:rsidRDefault="00470D12" w:rsidP="00CF3720">
      <w:pPr>
        <w:jc w:val="both"/>
      </w:pPr>
      <w:r>
        <w:t xml:space="preserve">Este </w:t>
      </w:r>
      <w:r w:rsidR="001B2289" w:rsidRPr="001B2289">
        <w:t>proyecto responde al déficit de espacios para el correcto tra</w:t>
      </w:r>
      <w:r w:rsidR="001B2289">
        <w:t xml:space="preserve">bajo y atención de las oficinas, </w:t>
      </w:r>
      <w:r>
        <w:t xml:space="preserve">alberga cómodamente a 21 funcionarios y tiene capacidad para </w:t>
      </w:r>
      <w:r w:rsidR="00B166AB">
        <w:t xml:space="preserve">un total de </w:t>
      </w:r>
      <w:r>
        <w:t>34 funcionarios, c</w:t>
      </w:r>
      <w:r w:rsidR="00CF3720">
        <w:t>orresponde a una</w:t>
      </w:r>
      <w:r w:rsidR="004B5F42">
        <w:t xml:space="preserve"> edificación moderna</w:t>
      </w:r>
      <w:r w:rsidR="00CF3720">
        <w:t xml:space="preserve"> </w:t>
      </w:r>
      <w:r>
        <w:t xml:space="preserve">en </w:t>
      </w:r>
      <w:r w:rsidR="004B5F42">
        <w:t>dos niveles</w:t>
      </w:r>
      <w:r w:rsidR="00CF3720">
        <w:t>,</w:t>
      </w:r>
      <w:r w:rsidR="004B5F42">
        <w:t xml:space="preserve"> </w:t>
      </w:r>
      <w:r>
        <w:t>con</w:t>
      </w:r>
      <w:r w:rsidR="004B5F42">
        <w:t xml:space="preserve"> una superficie cercana a los </w:t>
      </w:r>
      <w:r w:rsidR="00CF3720">
        <w:t>1000 m</w:t>
      </w:r>
      <w:r w:rsidR="00CF3720" w:rsidRPr="00CF3720">
        <w:rPr>
          <w:rFonts w:ascii="Arial" w:eastAsiaTheme="minorHAnsi" w:hAnsi="Arial" w:cs="Arial"/>
          <w:vertAlign w:val="superscript"/>
          <w:lang w:val="en-US" w:eastAsia="ja-JP"/>
        </w:rPr>
        <w:t>2</w:t>
      </w:r>
      <w:r w:rsidR="004B5F42">
        <w:t>. Cuen</w:t>
      </w:r>
      <w:r>
        <w:t>ta con oficinas administrativas y</w:t>
      </w:r>
      <w:r w:rsidR="004B5F42">
        <w:t xml:space="preserve"> técnicas, caniles, salón de capacitación, sala para el área jurídica, sala de reuniones y bodegas. </w:t>
      </w:r>
      <w:r>
        <w:t xml:space="preserve"> </w:t>
      </w:r>
      <w:r w:rsidR="00CF3720">
        <w:t>Recibió la</w:t>
      </w:r>
      <w:r w:rsidR="004B5F42">
        <w:t xml:space="preserve"> Certificación de Edificio Sustentable en la categoría infraestructura </w:t>
      </w:r>
      <w:r w:rsidR="00CF3720">
        <w:t>en</w:t>
      </w:r>
      <w:r w:rsidR="004B5F42">
        <w:t xml:space="preserve"> el </w:t>
      </w:r>
      <w:r w:rsidR="00CF3720">
        <w:t xml:space="preserve">año </w:t>
      </w:r>
      <w:r w:rsidR="004B5F42">
        <w:t>2024, la primera en su tipo en la región de Aysén.</w:t>
      </w:r>
    </w:p>
    <w:p w:rsidR="00497BAB" w:rsidRDefault="00497BAB" w:rsidP="00497BAB">
      <w:pPr>
        <w:jc w:val="both"/>
      </w:pPr>
      <w:r>
        <w:lastRenderedPageBreak/>
        <w:t xml:space="preserve">Entre </w:t>
      </w:r>
      <w:r w:rsidR="00470D12">
        <w:t>sus</w:t>
      </w:r>
      <w:r>
        <w:t xml:space="preserve"> características destacan </w:t>
      </w:r>
      <w:r w:rsidR="00470D12">
        <w:t>un</w:t>
      </w:r>
      <w:r>
        <w:t xml:space="preserve"> diseño </w:t>
      </w:r>
      <w:r w:rsidR="00470D12">
        <w:t xml:space="preserve">que incorpora </w:t>
      </w:r>
      <w:r>
        <w:t>un alto grado de eficiencia energética, lo que le permite alcanzar hasta un 75% de ahorro de energía</w:t>
      </w:r>
      <w:r w:rsidR="00011F7E">
        <w:t>, e</w:t>
      </w:r>
      <w:r>
        <w:t>llo por el aprovechamiento de la luz natural y la capacidad de aislación de los materiales utilizados.</w:t>
      </w:r>
    </w:p>
    <w:p w:rsidR="004B5F42" w:rsidRDefault="00497BAB" w:rsidP="004B5F42">
      <w:r>
        <w:t xml:space="preserve">Asimismo, esta </w:t>
      </w:r>
      <w:r w:rsidR="004B5F42">
        <w:t xml:space="preserve">Aduana es relevante </w:t>
      </w:r>
      <w:r>
        <w:t>para la zona ya que permite</w:t>
      </w:r>
      <w:r w:rsidR="004B5F42">
        <w:t xml:space="preserve"> la recepción y </w:t>
      </w:r>
      <w:r>
        <w:t xml:space="preserve">la salida </w:t>
      </w:r>
      <w:r w:rsidR="00011F7E">
        <w:t xml:space="preserve">del país </w:t>
      </w:r>
      <w:r>
        <w:t xml:space="preserve">de turistas </w:t>
      </w:r>
      <w:r w:rsidR="00011F7E">
        <w:t>y mercancías</w:t>
      </w:r>
      <w:r w:rsidR="004B5F42">
        <w:t>,</w:t>
      </w:r>
      <w:r w:rsidR="00470D12">
        <w:t xml:space="preserve"> beneficiando a </w:t>
      </w:r>
      <w:r w:rsidR="00B166AB">
        <w:t>una población objetivo de</w:t>
      </w:r>
      <w:r w:rsidR="00470D12">
        <w:t xml:space="preserve"> 30.476 personas</w:t>
      </w:r>
      <w:r w:rsidR="00B166AB">
        <w:t>.</w:t>
      </w:r>
    </w:p>
    <w:p w:rsidR="004B5F42" w:rsidRDefault="00B166AB" w:rsidP="00B166AB">
      <w:pPr>
        <w:jc w:val="both"/>
      </w:pPr>
      <w:r>
        <w:t>Es destacable señalar que el nuevo edificio es parte de los compromisos de renovación de infraestructura del Servicio Nacional de Aduanas, que se ejecuta desde el 2019 en un plan quinquenal, que ha permitido la reposición del edificio de la Aduana de Puerto entre otros edificios de similar naturaleza, que buscan dotar de mejores condiciones a las aduanas del país para seguir cumpliendo con los múltiples roles que desempeña</w:t>
      </w:r>
      <w:r w:rsidR="00011F7E">
        <w:t>n</w:t>
      </w:r>
      <w:r>
        <w:t xml:space="preserve"> tanto en materia</w:t>
      </w:r>
      <w:r w:rsidR="00011F7E">
        <w:t>s</w:t>
      </w:r>
      <w:r>
        <w:t xml:space="preserve"> de recaudación, de protección del comercio ilícito, así como de protección de las fronteras.</w:t>
      </w:r>
    </w:p>
    <w:sectPr w:rsidR="004B5F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F42"/>
    <w:rsid w:val="00011F7E"/>
    <w:rsid w:val="001B2289"/>
    <w:rsid w:val="002F58EF"/>
    <w:rsid w:val="00470D12"/>
    <w:rsid w:val="00497BAB"/>
    <w:rsid w:val="004B5F42"/>
    <w:rsid w:val="00B162A0"/>
    <w:rsid w:val="00B166AB"/>
    <w:rsid w:val="00CF3720"/>
    <w:rsid w:val="00EC350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3E31E-08BB-4D2C-BF1D-C1CF3C1ED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Miranda Estrada (ARQ)</dc:creator>
  <cp:keywords/>
  <dc:description/>
  <cp:lastModifiedBy>Claudia Ramírez Hernández (Dirplan)</cp:lastModifiedBy>
  <cp:revision>2</cp:revision>
  <dcterms:created xsi:type="dcterms:W3CDTF">2026-01-26T20:46:00Z</dcterms:created>
  <dcterms:modified xsi:type="dcterms:W3CDTF">2026-01-26T20:46:00Z</dcterms:modified>
</cp:coreProperties>
</file>